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0C6DF" w14:textId="77777777" w:rsidR="009036C0" w:rsidRDefault="004C70E5">
      <w:pPr>
        <w:jc w:val="both"/>
        <w:rPr>
          <w:rFonts w:ascii="Times New Roman" w:hAnsi="Times New Roman"/>
          <w:b/>
          <w:color w:val="000000"/>
          <w:kern w:val="22"/>
          <w:sz w:val="22"/>
          <w:szCs w:val="22"/>
        </w:rPr>
      </w:pPr>
      <w:r>
        <w:rPr>
          <w:rFonts w:ascii="Times New Roman" w:hAnsi="Times New Roman"/>
          <w:b/>
          <w:color w:val="000000"/>
          <w:kern w:val="22"/>
          <w:sz w:val="22"/>
          <w:szCs w:val="22"/>
        </w:rPr>
        <w:t>STATE OF SOUTH CAROLINA</w:t>
      </w:r>
      <w:r>
        <w:rPr>
          <w:rFonts w:ascii="Times New Roman" w:hAnsi="Times New Roman"/>
          <w:b/>
          <w:color w:val="000000"/>
          <w:kern w:val="22"/>
          <w:sz w:val="22"/>
          <w:szCs w:val="22"/>
        </w:rPr>
        <w:tab/>
        <w:t>)</w:t>
      </w:r>
    </w:p>
    <w:p w14:paraId="506A3F83" w14:textId="77777777" w:rsidR="009036C0" w:rsidRDefault="004C70E5">
      <w:pPr>
        <w:jc w:val="both"/>
        <w:rPr>
          <w:rFonts w:ascii="Times New Roman" w:hAnsi="Times New Roman"/>
          <w:b/>
          <w:color w:val="000000"/>
          <w:kern w:val="22"/>
          <w:sz w:val="22"/>
          <w:szCs w:val="22"/>
          <w:u w:val="single"/>
        </w:rPr>
      </w:pPr>
      <w:r>
        <w:rPr>
          <w:rFonts w:ascii="Times New Roman" w:hAnsi="Times New Roman"/>
          <w:b/>
          <w:color w:val="000000"/>
          <w:kern w:val="22"/>
          <w:sz w:val="22"/>
          <w:szCs w:val="22"/>
        </w:rPr>
        <w:tab/>
      </w:r>
      <w:r>
        <w:rPr>
          <w:rFonts w:ascii="Times New Roman" w:hAnsi="Times New Roman"/>
          <w:b/>
          <w:color w:val="000000"/>
          <w:kern w:val="22"/>
          <w:sz w:val="22"/>
          <w:szCs w:val="22"/>
        </w:rPr>
        <w:tab/>
      </w:r>
      <w:r>
        <w:rPr>
          <w:rFonts w:ascii="Times New Roman" w:hAnsi="Times New Roman"/>
          <w:b/>
          <w:color w:val="000000"/>
          <w:kern w:val="22"/>
          <w:sz w:val="22"/>
          <w:szCs w:val="22"/>
        </w:rPr>
        <w:tab/>
      </w:r>
      <w:r>
        <w:rPr>
          <w:rFonts w:ascii="Times New Roman" w:hAnsi="Times New Roman"/>
          <w:b/>
          <w:color w:val="000000"/>
          <w:kern w:val="22"/>
          <w:sz w:val="22"/>
          <w:szCs w:val="22"/>
        </w:rPr>
        <w:tab/>
      </w:r>
      <w:r>
        <w:rPr>
          <w:rFonts w:ascii="Times New Roman" w:hAnsi="Times New Roman"/>
          <w:b/>
          <w:color w:val="000000"/>
          <w:kern w:val="22"/>
          <w:sz w:val="22"/>
          <w:szCs w:val="22"/>
        </w:rPr>
        <w:tab/>
        <w:t>)</w:t>
      </w:r>
      <w:r>
        <w:rPr>
          <w:rFonts w:ascii="Times New Roman" w:hAnsi="Times New Roman"/>
          <w:b/>
          <w:color w:val="000000"/>
          <w:kern w:val="22"/>
          <w:sz w:val="22"/>
          <w:szCs w:val="22"/>
        </w:rPr>
        <w:tab/>
      </w:r>
      <w:r>
        <w:rPr>
          <w:rFonts w:ascii="Times New Roman" w:hAnsi="Times New Roman"/>
          <w:b/>
          <w:color w:val="000000"/>
          <w:kern w:val="22"/>
          <w:sz w:val="22"/>
          <w:szCs w:val="22"/>
        </w:rPr>
        <w:tab/>
        <w:t xml:space="preserve">RESOLUTION NO. </w:t>
      </w:r>
      <w:r>
        <w:rPr>
          <w:rFonts w:ascii="Times New Roman" w:hAnsi="Times New Roman"/>
          <w:b/>
          <w:color w:val="000000"/>
          <w:kern w:val="22"/>
          <w:sz w:val="22"/>
          <w:szCs w:val="22"/>
          <w:u w:val="single"/>
        </w:rPr>
        <w:t>08-18</w:t>
      </w:r>
    </w:p>
    <w:p w14:paraId="17137104" w14:textId="77777777" w:rsidR="009036C0" w:rsidRDefault="004C70E5">
      <w:pPr>
        <w:spacing w:after="200"/>
        <w:jc w:val="both"/>
        <w:rPr>
          <w:rFonts w:ascii="Times New Roman" w:hAnsi="Times New Roman"/>
          <w:color w:val="000000"/>
          <w:kern w:val="22"/>
          <w:sz w:val="22"/>
          <w:szCs w:val="22"/>
          <w:u w:val="single"/>
        </w:rPr>
      </w:pPr>
      <w:r>
        <w:rPr>
          <w:rFonts w:ascii="Times New Roman" w:hAnsi="Times New Roman"/>
          <w:b/>
          <w:color w:val="000000"/>
          <w:kern w:val="22"/>
          <w:sz w:val="22"/>
          <w:szCs w:val="22"/>
        </w:rPr>
        <w:t>COUNTY OF NEWBERRY</w:t>
      </w:r>
      <w:r>
        <w:rPr>
          <w:rFonts w:ascii="Times New Roman" w:hAnsi="Times New Roman"/>
          <w:b/>
          <w:color w:val="000000"/>
          <w:kern w:val="22"/>
          <w:sz w:val="22"/>
          <w:szCs w:val="22"/>
        </w:rPr>
        <w:tab/>
      </w:r>
      <w:r>
        <w:rPr>
          <w:rFonts w:ascii="Times New Roman" w:hAnsi="Times New Roman"/>
          <w:b/>
          <w:color w:val="000000"/>
          <w:kern w:val="22"/>
          <w:sz w:val="22"/>
          <w:szCs w:val="22"/>
        </w:rPr>
        <w:tab/>
        <w:t>)</w:t>
      </w:r>
    </w:p>
    <w:p w14:paraId="5FE3538F" w14:textId="77777777" w:rsidR="009036C0" w:rsidRDefault="004C70E5">
      <w:pPr>
        <w:spacing w:after="200"/>
        <w:ind w:left="720" w:right="720"/>
        <w:jc w:val="both"/>
        <w:rPr>
          <w:rFonts w:ascii="Times New Roman" w:hAnsi="Times New Roman"/>
          <w:b/>
          <w:sz w:val="22"/>
          <w:szCs w:val="22"/>
        </w:rPr>
      </w:pPr>
      <w:r>
        <w:rPr>
          <w:rFonts w:ascii="Times New Roman" w:hAnsi="Times New Roman"/>
          <w:b/>
          <w:sz w:val="22"/>
          <w:szCs w:val="22"/>
        </w:rPr>
        <w:t>A RESOLUTION AUTHORIZING THE EXTENSION OF THE TERM OF THE DECEMBER 27, 1996, LEASE PURCHASE AGREEMENT BY AND BETWEEN NEWBERRY COUNTY, SOUTH CAROLINA, AND KRAFT FOODS, INC.</w:t>
      </w:r>
    </w:p>
    <w:p w14:paraId="2F097C20" w14:textId="77777777" w:rsidR="009036C0" w:rsidRDefault="004C70E5">
      <w:pPr>
        <w:spacing w:after="200"/>
        <w:jc w:val="both"/>
        <w:rPr>
          <w:rFonts w:ascii="Times New Roman" w:hAnsi="Times New Roman"/>
          <w:sz w:val="22"/>
          <w:szCs w:val="22"/>
        </w:rPr>
      </w:pPr>
      <w:r>
        <w:rPr>
          <w:rFonts w:ascii="Times New Roman" w:hAnsi="Times New Roman"/>
          <w:sz w:val="22"/>
          <w:szCs w:val="22"/>
        </w:rPr>
        <w:tab/>
      </w:r>
      <w:r>
        <w:rPr>
          <w:rFonts w:ascii="Times New Roman" w:hAnsi="Times New Roman"/>
          <w:b/>
          <w:sz w:val="22"/>
          <w:szCs w:val="22"/>
        </w:rPr>
        <w:t>WHEREAS</w:t>
      </w:r>
      <w:r>
        <w:rPr>
          <w:rFonts w:ascii="Times New Roman" w:hAnsi="Times New Roman"/>
          <w:sz w:val="22"/>
          <w:szCs w:val="22"/>
        </w:rPr>
        <w:t>,</w:t>
      </w:r>
      <w:r>
        <w:rPr>
          <w:rFonts w:ascii="Times New Roman" w:hAnsi="Times New Roman"/>
          <w:sz w:val="22"/>
          <w:szCs w:val="22"/>
        </w:rPr>
        <w:t xml:space="preserve"> Newberry County, South Carolina (the “</w:t>
      </w:r>
      <w:r>
        <w:rPr>
          <w:rFonts w:ascii="Times New Roman" w:hAnsi="Times New Roman"/>
          <w:b/>
          <w:sz w:val="22"/>
          <w:szCs w:val="22"/>
        </w:rPr>
        <w:t>County</w:t>
      </w:r>
      <w:r>
        <w:rPr>
          <w:rFonts w:ascii="Times New Roman" w:hAnsi="Times New Roman"/>
          <w:sz w:val="22"/>
          <w:szCs w:val="22"/>
        </w:rPr>
        <w:t>”), acting by and through its County Council (the “</w:t>
      </w:r>
      <w:r>
        <w:rPr>
          <w:rFonts w:ascii="Times New Roman" w:hAnsi="Times New Roman"/>
          <w:b/>
          <w:sz w:val="22"/>
          <w:szCs w:val="22"/>
        </w:rPr>
        <w:t>County Council</w:t>
      </w:r>
      <w:r>
        <w:rPr>
          <w:rFonts w:ascii="Times New Roman" w:hAnsi="Times New Roman"/>
          <w:sz w:val="22"/>
          <w:szCs w:val="22"/>
        </w:rPr>
        <w:t>”), is authorized and empowered under and pursuant to the provisions of Title 4, Chapter 12, Code of Laws of South Carolina, 1976, as amended (the</w:t>
      </w:r>
      <w:r>
        <w:rPr>
          <w:rFonts w:ascii="Times New Roman" w:hAnsi="Times New Roman"/>
          <w:sz w:val="22"/>
          <w:szCs w:val="22"/>
        </w:rPr>
        <w:t xml:space="preserve"> “</w:t>
      </w:r>
      <w:r>
        <w:rPr>
          <w:rFonts w:ascii="Times New Roman" w:hAnsi="Times New Roman"/>
          <w:b/>
          <w:sz w:val="22"/>
          <w:szCs w:val="22"/>
        </w:rPr>
        <w:t>Act</w:t>
      </w:r>
      <w:r>
        <w:rPr>
          <w:rFonts w:ascii="Times New Roman" w:hAnsi="Times New Roman"/>
          <w:sz w:val="22"/>
          <w:szCs w:val="22"/>
        </w:rPr>
        <w:t xml:space="preserve">”), to </w:t>
      </w:r>
      <w:bookmarkStart w:id="0" w:name="_GoBack"/>
      <w:bookmarkEnd w:id="0"/>
      <w:r>
        <w:rPr>
          <w:rFonts w:ascii="Times New Roman" w:hAnsi="Times New Roman"/>
          <w:sz w:val="22"/>
          <w:szCs w:val="22"/>
        </w:rPr>
        <w:t>acquire, or cause to be acquired, properties (which properties constitute “projects” as defined in the Act) and to enter into agreements with any industry to construct, operate, maintain and improve such projects through which powers the indust</w:t>
      </w:r>
      <w:r>
        <w:rPr>
          <w:rFonts w:ascii="Times New Roman" w:hAnsi="Times New Roman"/>
          <w:sz w:val="22"/>
          <w:szCs w:val="22"/>
        </w:rPr>
        <w:t>rial development of the State of South Carolina (the “</w:t>
      </w:r>
      <w:r>
        <w:rPr>
          <w:rFonts w:ascii="Times New Roman" w:hAnsi="Times New Roman"/>
          <w:b/>
          <w:sz w:val="22"/>
          <w:szCs w:val="22"/>
        </w:rPr>
        <w:t>State</w:t>
      </w:r>
      <w:r>
        <w:rPr>
          <w:rFonts w:ascii="Times New Roman" w:hAnsi="Times New Roman"/>
          <w:sz w:val="22"/>
          <w:szCs w:val="22"/>
        </w:rPr>
        <w:t>”) will be promoted and trade developed by inducing manufacturing and commercial enterprise to locate and remain in the State and thus utilize and employ the manpower, agricultural products and nat</w:t>
      </w:r>
      <w:r>
        <w:rPr>
          <w:rFonts w:ascii="Times New Roman" w:hAnsi="Times New Roman"/>
          <w:sz w:val="22"/>
          <w:szCs w:val="22"/>
        </w:rPr>
        <w:t>ural resources of the State and benefit the general public welfare of the County by providing services, employment, recreation or other public benefits not otherwise provided locally;</w:t>
      </w:r>
    </w:p>
    <w:p w14:paraId="19EBB60A" w14:textId="77777777" w:rsidR="009036C0" w:rsidRDefault="004C70E5">
      <w:pPr>
        <w:spacing w:after="200"/>
        <w:jc w:val="both"/>
        <w:rPr>
          <w:rFonts w:ascii="Times New Roman" w:hAnsi="Times New Roman"/>
          <w:sz w:val="22"/>
          <w:szCs w:val="22"/>
        </w:rPr>
      </w:pPr>
      <w:r>
        <w:rPr>
          <w:rFonts w:ascii="Times New Roman" w:hAnsi="Times New Roman"/>
          <w:sz w:val="22"/>
          <w:szCs w:val="22"/>
        </w:rPr>
        <w:tab/>
      </w:r>
      <w:r>
        <w:rPr>
          <w:rFonts w:ascii="Times New Roman" w:hAnsi="Times New Roman"/>
          <w:b/>
          <w:sz w:val="22"/>
          <w:szCs w:val="22"/>
        </w:rPr>
        <w:t>WHEREAS</w:t>
      </w:r>
      <w:r>
        <w:rPr>
          <w:rFonts w:ascii="Times New Roman" w:hAnsi="Times New Roman"/>
          <w:sz w:val="22"/>
          <w:szCs w:val="22"/>
        </w:rPr>
        <w:t xml:space="preserve">, in the exercise of the foregoing powers, the County and Kraft </w:t>
      </w:r>
      <w:r>
        <w:rPr>
          <w:rFonts w:ascii="Times New Roman" w:hAnsi="Times New Roman"/>
          <w:sz w:val="22"/>
          <w:szCs w:val="22"/>
        </w:rPr>
        <w:t>Foods, Inc. (the “</w:t>
      </w:r>
      <w:r>
        <w:rPr>
          <w:rFonts w:ascii="Times New Roman" w:hAnsi="Times New Roman"/>
          <w:b/>
          <w:sz w:val="22"/>
          <w:szCs w:val="22"/>
        </w:rPr>
        <w:t>Company</w:t>
      </w:r>
      <w:r>
        <w:rPr>
          <w:rFonts w:ascii="Times New Roman" w:hAnsi="Times New Roman"/>
          <w:sz w:val="22"/>
          <w:szCs w:val="22"/>
        </w:rPr>
        <w:t>”), entered into a Lease Purchase Agreement dated December 27, 1996, (the “</w:t>
      </w:r>
      <w:r>
        <w:rPr>
          <w:rFonts w:ascii="Times New Roman" w:hAnsi="Times New Roman"/>
          <w:b/>
          <w:sz w:val="22"/>
          <w:szCs w:val="22"/>
        </w:rPr>
        <w:t>Lease Purchase Agreement</w:t>
      </w:r>
      <w:r>
        <w:rPr>
          <w:rFonts w:ascii="Times New Roman" w:hAnsi="Times New Roman"/>
          <w:sz w:val="22"/>
          <w:szCs w:val="22"/>
        </w:rPr>
        <w:t xml:space="preserve">”), providing for certain incentives, including, without limitation, payment of a fee-in-lieu of taxes with respect to the </w:t>
      </w:r>
      <w:r>
        <w:rPr>
          <w:rFonts w:ascii="Times New Roman" w:hAnsi="Times New Roman"/>
          <w:b/>
          <w:sz w:val="22"/>
          <w:szCs w:val="22"/>
        </w:rPr>
        <w:t>Project</w:t>
      </w:r>
      <w:r>
        <w:rPr>
          <w:rFonts w:ascii="Times New Roman" w:hAnsi="Times New Roman"/>
          <w:sz w:val="22"/>
          <w:szCs w:val="22"/>
        </w:rPr>
        <w:t xml:space="preserve"> (</w:t>
      </w:r>
      <w:r>
        <w:rPr>
          <w:rFonts w:ascii="Times New Roman" w:hAnsi="Times New Roman"/>
          <w:sz w:val="22"/>
          <w:szCs w:val="22"/>
        </w:rPr>
        <w:t>as defined in the Lease Purchase</w:t>
      </w:r>
      <w:r>
        <w:rPr>
          <w:rFonts w:ascii="Times New Roman" w:hAnsi="Times New Roman"/>
          <w:b/>
          <w:sz w:val="22"/>
          <w:szCs w:val="22"/>
        </w:rPr>
        <w:t xml:space="preserve"> </w:t>
      </w:r>
      <w:r>
        <w:rPr>
          <w:rFonts w:ascii="Times New Roman" w:hAnsi="Times New Roman"/>
          <w:sz w:val="22"/>
          <w:szCs w:val="22"/>
        </w:rPr>
        <w:t>Agreement);</w:t>
      </w:r>
    </w:p>
    <w:p w14:paraId="02B34C04" w14:textId="77777777" w:rsidR="009036C0" w:rsidRDefault="004C70E5">
      <w:pPr>
        <w:spacing w:after="200"/>
        <w:jc w:val="both"/>
        <w:rPr>
          <w:rFonts w:ascii="Times New Roman" w:hAnsi="Times New Roman"/>
          <w:sz w:val="22"/>
          <w:szCs w:val="22"/>
        </w:rPr>
      </w:pPr>
      <w:r>
        <w:rPr>
          <w:rFonts w:ascii="Times New Roman" w:hAnsi="Times New Roman"/>
          <w:sz w:val="22"/>
          <w:szCs w:val="22"/>
        </w:rPr>
        <w:tab/>
      </w:r>
      <w:r>
        <w:rPr>
          <w:rFonts w:ascii="Times New Roman" w:hAnsi="Times New Roman"/>
          <w:b/>
          <w:sz w:val="22"/>
          <w:szCs w:val="22"/>
        </w:rPr>
        <w:t>WHEREAS,</w:t>
      </w:r>
      <w:r>
        <w:rPr>
          <w:rFonts w:ascii="Times New Roman" w:hAnsi="Times New Roman"/>
          <w:sz w:val="22"/>
          <w:szCs w:val="22"/>
        </w:rPr>
        <w:t xml:space="preserve"> pursuant to the Act, the term of a lease purchase agreement may be extended by resolution on finding by County Council of a substantial public benefit;</w:t>
      </w:r>
    </w:p>
    <w:p w14:paraId="3377F9A4" w14:textId="77777777" w:rsidR="009036C0" w:rsidRDefault="004C70E5">
      <w:pPr>
        <w:spacing w:after="200"/>
        <w:jc w:val="both"/>
        <w:rPr>
          <w:rFonts w:ascii="Times New Roman" w:hAnsi="Times New Roman"/>
          <w:sz w:val="22"/>
          <w:szCs w:val="22"/>
        </w:rPr>
      </w:pPr>
      <w:r>
        <w:rPr>
          <w:rFonts w:ascii="Times New Roman" w:hAnsi="Times New Roman"/>
          <w:sz w:val="22"/>
          <w:szCs w:val="22"/>
        </w:rPr>
        <w:tab/>
      </w:r>
      <w:r>
        <w:rPr>
          <w:rFonts w:ascii="Times New Roman" w:hAnsi="Times New Roman"/>
          <w:b/>
          <w:sz w:val="22"/>
          <w:szCs w:val="22"/>
        </w:rPr>
        <w:t>WHEREAS</w:t>
      </w:r>
      <w:r>
        <w:rPr>
          <w:rFonts w:ascii="Times New Roman" w:hAnsi="Times New Roman"/>
          <w:sz w:val="22"/>
          <w:szCs w:val="22"/>
        </w:rPr>
        <w:t>, in anticipation of future investment an</w:t>
      </w:r>
      <w:r>
        <w:rPr>
          <w:rFonts w:ascii="Times New Roman" w:hAnsi="Times New Roman"/>
          <w:sz w:val="22"/>
          <w:szCs w:val="22"/>
        </w:rPr>
        <w:t>d job creation by the Company at the Project and to maintain a stable tax base, the County desires to extend the term of the Lease Purchase Agreement by an additional one year.</w:t>
      </w:r>
    </w:p>
    <w:p w14:paraId="1CB0C74C" w14:textId="77777777" w:rsidR="009036C0" w:rsidRDefault="004C70E5">
      <w:pPr>
        <w:spacing w:after="200"/>
        <w:jc w:val="both"/>
        <w:rPr>
          <w:rFonts w:ascii="Times New Roman" w:hAnsi="Times New Roman"/>
          <w:sz w:val="22"/>
          <w:szCs w:val="22"/>
        </w:rPr>
      </w:pPr>
      <w:r>
        <w:rPr>
          <w:rFonts w:ascii="Times New Roman" w:hAnsi="Times New Roman"/>
          <w:sz w:val="22"/>
          <w:szCs w:val="22"/>
        </w:rPr>
        <w:tab/>
      </w:r>
      <w:r>
        <w:rPr>
          <w:rFonts w:ascii="Times New Roman" w:hAnsi="Times New Roman"/>
          <w:b/>
          <w:sz w:val="22"/>
          <w:szCs w:val="22"/>
        </w:rPr>
        <w:t>NOW, THEREFORE</w:t>
      </w:r>
      <w:r>
        <w:rPr>
          <w:rFonts w:ascii="Times New Roman" w:hAnsi="Times New Roman"/>
          <w:sz w:val="22"/>
          <w:szCs w:val="22"/>
        </w:rPr>
        <w:t>, BE IT RESOLVED, by County Council as follows:</w:t>
      </w:r>
    </w:p>
    <w:p w14:paraId="44DA7A5D" w14:textId="77777777" w:rsidR="009036C0" w:rsidRDefault="004C70E5">
      <w:pPr>
        <w:spacing w:after="20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u w:val="single"/>
        </w:rPr>
        <w:t>Section 1</w:t>
      </w:r>
      <w:r>
        <w:rPr>
          <w:rFonts w:ascii="Times New Roman" w:hAnsi="Times New Roman"/>
          <w:sz w:val="22"/>
          <w:szCs w:val="22"/>
        </w:rPr>
        <w:t xml:space="preserve">.  </w:t>
      </w:r>
      <w:r>
        <w:rPr>
          <w:rFonts w:ascii="Times New Roman" w:hAnsi="Times New Roman"/>
          <w:sz w:val="22"/>
          <w:szCs w:val="22"/>
          <w:u w:val="single"/>
        </w:rPr>
        <w:t>Statutory Findings and Determination.</w:t>
      </w:r>
      <w:r>
        <w:rPr>
          <w:rFonts w:ascii="Times New Roman" w:hAnsi="Times New Roman"/>
          <w:sz w:val="22"/>
          <w:szCs w:val="22"/>
        </w:rPr>
        <w:t xml:space="preserve">  The County hereby finds and determines that an extension of the term of the Lease Purchase Agreement would directly and substantially benefit the </w:t>
      </w:r>
      <w:proofErr w:type="gramStart"/>
      <w:r>
        <w:rPr>
          <w:rFonts w:ascii="Times New Roman" w:hAnsi="Times New Roman"/>
          <w:sz w:val="22"/>
          <w:szCs w:val="22"/>
        </w:rPr>
        <w:t>general public</w:t>
      </w:r>
      <w:proofErr w:type="gramEnd"/>
      <w:r>
        <w:rPr>
          <w:rFonts w:ascii="Times New Roman" w:hAnsi="Times New Roman"/>
          <w:sz w:val="22"/>
          <w:szCs w:val="22"/>
        </w:rPr>
        <w:t xml:space="preserve"> welfare of the County by maintaining the tax base of the</w:t>
      </w:r>
      <w:r>
        <w:rPr>
          <w:rFonts w:ascii="Times New Roman" w:hAnsi="Times New Roman"/>
          <w:sz w:val="22"/>
          <w:szCs w:val="22"/>
        </w:rPr>
        <w:t xml:space="preserve"> County and that the maintenance of the tax base of the County, is a proper governmental and public purposes.</w:t>
      </w:r>
    </w:p>
    <w:p w14:paraId="0C950DC4" w14:textId="77777777" w:rsidR="009036C0" w:rsidRDefault="004C70E5">
      <w:pPr>
        <w:spacing w:after="200"/>
        <w:ind w:firstLine="720"/>
        <w:jc w:val="both"/>
        <w:rPr>
          <w:rFonts w:ascii="Times New Roman" w:hAnsi="Times New Roman"/>
          <w:sz w:val="22"/>
          <w:szCs w:val="22"/>
        </w:rPr>
      </w:pPr>
      <w:r>
        <w:rPr>
          <w:rFonts w:ascii="Times New Roman" w:hAnsi="Times New Roman"/>
          <w:sz w:val="22"/>
          <w:szCs w:val="22"/>
          <w:u w:val="single"/>
        </w:rPr>
        <w:t>Section 2.</w:t>
      </w:r>
      <w:r>
        <w:rPr>
          <w:rFonts w:ascii="Times New Roman" w:hAnsi="Times New Roman"/>
          <w:sz w:val="22"/>
          <w:szCs w:val="22"/>
        </w:rPr>
        <w:t xml:space="preserve">  </w:t>
      </w:r>
      <w:r>
        <w:rPr>
          <w:rFonts w:ascii="Times New Roman" w:hAnsi="Times New Roman"/>
          <w:sz w:val="22"/>
          <w:szCs w:val="22"/>
          <w:u w:val="single"/>
        </w:rPr>
        <w:t>Approval of Extension of Term</w:t>
      </w:r>
      <w:r>
        <w:rPr>
          <w:rFonts w:ascii="Times New Roman" w:hAnsi="Times New Roman"/>
          <w:sz w:val="22"/>
          <w:szCs w:val="22"/>
        </w:rPr>
        <w:t>.  The County hereby grants an extension of the term under the Lease Purchase Agreement pursuant to Secti</w:t>
      </w:r>
      <w:r>
        <w:rPr>
          <w:rFonts w:ascii="Times New Roman" w:hAnsi="Times New Roman"/>
          <w:sz w:val="22"/>
          <w:szCs w:val="22"/>
        </w:rPr>
        <w:t xml:space="preserve">on 4-12-30(C)(4) for an additional one (1) year.  </w:t>
      </w:r>
    </w:p>
    <w:p w14:paraId="4D3DD2B9" w14:textId="77777777" w:rsidR="009036C0" w:rsidRDefault="004C70E5">
      <w:pPr>
        <w:spacing w:after="20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u w:val="single"/>
        </w:rPr>
        <w:t>Section 3</w:t>
      </w:r>
      <w:r>
        <w:rPr>
          <w:rFonts w:ascii="Times New Roman" w:hAnsi="Times New Roman"/>
          <w:sz w:val="22"/>
          <w:szCs w:val="22"/>
        </w:rPr>
        <w:t xml:space="preserve">.  </w:t>
      </w:r>
      <w:r>
        <w:rPr>
          <w:rFonts w:ascii="Times New Roman" w:hAnsi="Times New Roman"/>
          <w:sz w:val="22"/>
          <w:szCs w:val="22"/>
          <w:u w:val="single"/>
        </w:rPr>
        <w:t>Further Actions</w:t>
      </w:r>
      <w:r>
        <w:rPr>
          <w:rFonts w:ascii="Times New Roman" w:hAnsi="Times New Roman"/>
          <w:sz w:val="22"/>
          <w:szCs w:val="22"/>
        </w:rPr>
        <w:t xml:space="preserve">.  The Chair of County Council, the County Administrator and the Clerk to County Council, for and on behalf of the County, are hereby each authorized and directed to do any and </w:t>
      </w:r>
      <w:r>
        <w:rPr>
          <w:rFonts w:ascii="Times New Roman" w:hAnsi="Times New Roman"/>
          <w:sz w:val="22"/>
          <w:szCs w:val="22"/>
        </w:rPr>
        <w:t xml:space="preserve">all things necessary to </w:t>
      </w:r>
      <w:proofErr w:type="gramStart"/>
      <w:r>
        <w:rPr>
          <w:rFonts w:ascii="Times New Roman" w:hAnsi="Times New Roman"/>
          <w:sz w:val="22"/>
          <w:szCs w:val="22"/>
        </w:rPr>
        <w:t>effect</w:t>
      </w:r>
      <w:proofErr w:type="gramEnd"/>
      <w:r>
        <w:rPr>
          <w:rFonts w:ascii="Times New Roman" w:hAnsi="Times New Roman"/>
          <w:sz w:val="22"/>
          <w:szCs w:val="22"/>
        </w:rPr>
        <w:t xml:space="preserve"> the performance of all obligations of the County under this Resolution.  </w:t>
      </w:r>
    </w:p>
    <w:p w14:paraId="57C9D7BA" w14:textId="77777777" w:rsidR="009036C0" w:rsidRDefault="004C70E5">
      <w:pPr>
        <w:spacing w:after="20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u w:val="single"/>
        </w:rPr>
        <w:t>Section 4</w:t>
      </w:r>
      <w:r>
        <w:rPr>
          <w:rFonts w:ascii="Times New Roman" w:hAnsi="Times New Roman"/>
          <w:sz w:val="22"/>
          <w:szCs w:val="22"/>
        </w:rPr>
        <w:t xml:space="preserve">.  </w:t>
      </w:r>
      <w:r>
        <w:rPr>
          <w:rFonts w:ascii="Times New Roman" w:hAnsi="Times New Roman"/>
          <w:sz w:val="22"/>
          <w:szCs w:val="22"/>
          <w:u w:val="single"/>
        </w:rPr>
        <w:t>Governing Law</w:t>
      </w:r>
      <w:r>
        <w:rPr>
          <w:rFonts w:ascii="Times New Roman" w:hAnsi="Times New Roman"/>
          <w:sz w:val="22"/>
          <w:szCs w:val="22"/>
        </w:rPr>
        <w:t>.  This Resolution shall be construed and interpreted in accordance with the laws of the State.</w:t>
      </w:r>
    </w:p>
    <w:p w14:paraId="7565D036" w14:textId="77777777" w:rsidR="009036C0" w:rsidRDefault="004C70E5">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u w:val="single"/>
        </w:rPr>
        <w:t>Section 5</w:t>
      </w:r>
      <w:r>
        <w:rPr>
          <w:rFonts w:ascii="Times New Roman" w:hAnsi="Times New Roman"/>
          <w:sz w:val="22"/>
          <w:szCs w:val="22"/>
        </w:rPr>
        <w:t xml:space="preserve">.  </w:t>
      </w:r>
      <w:r>
        <w:rPr>
          <w:rFonts w:ascii="Times New Roman" w:hAnsi="Times New Roman"/>
          <w:sz w:val="22"/>
          <w:szCs w:val="22"/>
          <w:u w:val="single"/>
        </w:rPr>
        <w:t>Severability</w:t>
      </w:r>
      <w:r>
        <w:rPr>
          <w:rFonts w:ascii="Times New Roman" w:hAnsi="Times New Roman"/>
          <w:sz w:val="22"/>
          <w:szCs w:val="22"/>
        </w:rPr>
        <w:t>.  T</w:t>
      </w:r>
      <w:r>
        <w:rPr>
          <w:rFonts w:ascii="Times New Roman" w:hAnsi="Times New Roman"/>
          <w:sz w:val="22"/>
          <w:szCs w:val="22"/>
        </w:rPr>
        <w:t>he provisions of this Resolution are hereby declared to be separable and if any section, phrase or provision shall for any reason be declared by a court of competent jurisdiction to be invalid or unenforceable, such declaration shall not affect the validit</w:t>
      </w:r>
      <w:r>
        <w:rPr>
          <w:rFonts w:ascii="Times New Roman" w:hAnsi="Times New Roman"/>
          <w:sz w:val="22"/>
          <w:szCs w:val="22"/>
        </w:rPr>
        <w:t xml:space="preserve">y of the remainder of the sections, phrases and provisions hereunder.  </w:t>
      </w:r>
    </w:p>
    <w:p w14:paraId="5DF1990F" w14:textId="77777777" w:rsidR="009036C0" w:rsidRDefault="009036C0">
      <w:pPr>
        <w:jc w:val="both"/>
        <w:rPr>
          <w:rFonts w:ascii="Times New Roman" w:hAnsi="Times New Roman"/>
          <w:sz w:val="22"/>
          <w:szCs w:val="22"/>
          <w:highlight w:val="yellow"/>
        </w:rPr>
      </w:pPr>
    </w:p>
    <w:p w14:paraId="1889AE97" w14:textId="77777777" w:rsidR="009036C0" w:rsidRDefault="009036C0">
      <w:pPr>
        <w:jc w:val="both"/>
        <w:rPr>
          <w:rFonts w:ascii="Times New Roman" w:hAnsi="Times New Roman"/>
          <w:sz w:val="22"/>
          <w:szCs w:val="22"/>
          <w:highlight w:val="yellow"/>
        </w:rPr>
        <w:sectPr w:rsidR="009036C0">
          <w:footerReference w:type="even" r:id="rId7"/>
          <w:footerReference w:type="default" r:id="rId8"/>
          <w:footerReference w:type="first" r:id="rId9"/>
          <w:type w:val="continuous"/>
          <w:pgSz w:w="12240" w:h="15840" w:code="1"/>
          <w:pgMar w:top="1440" w:right="1440" w:bottom="1440" w:left="1440" w:header="1440" w:footer="720" w:gutter="0"/>
          <w:paperSrc w:first="264" w:other="264"/>
          <w:cols w:space="720"/>
          <w:titlePg/>
          <w:docGrid w:linePitch="326"/>
        </w:sectPr>
      </w:pPr>
    </w:p>
    <w:p w14:paraId="74FB9E09" w14:textId="77777777" w:rsidR="009036C0" w:rsidRDefault="009036C0">
      <w:pPr>
        <w:jc w:val="both"/>
        <w:rPr>
          <w:rFonts w:ascii="Times New Roman" w:hAnsi="Times New Roman"/>
          <w:sz w:val="22"/>
          <w:szCs w:val="22"/>
        </w:rPr>
      </w:pPr>
    </w:p>
    <w:p w14:paraId="73EAAE89" w14:textId="77777777" w:rsidR="009036C0" w:rsidRDefault="004C70E5">
      <w:pPr>
        <w:pStyle w:val="BodyTextIndent"/>
        <w:ind w:left="1080" w:firstLine="0"/>
        <w:rPr>
          <w:rFonts w:ascii="Times New Roman" w:hAnsi="Times New Roman"/>
          <w:sz w:val="22"/>
          <w:szCs w:val="22"/>
        </w:rPr>
      </w:pPr>
      <w:r>
        <w:rPr>
          <w:rFonts w:ascii="Times New Roman" w:hAnsi="Times New Roman"/>
          <w:sz w:val="22"/>
          <w:szCs w:val="22"/>
        </w:rPr>
        <w:t xml:space="preserve">DONE, RATIFIED AND ADOPTED this _____day of </w:t>
      </w:r>
      <w:r>
        <w:rPr>
          <w:rFonts w:ascii="Times New Roman" w:hAnsi="Times New Roman"/>
          <w:sz w:val="22"/>
          <w:szCs w:val="22"/>
        </w:rPr>
        <w:t>____________________, 2018.</w:t>
      </w:r>
    </w:p>
    <w:p w14:paraId="0D36B3EF" w14:textId="77777777" w:rsidR="009036C0" w:rsidRDefault="004C70E5">
      <w:pPr>
        <w:ind w:left="5040"/>
        <w:rPr>
          <w:rFonts w:ascii="Times New Roman" w:hAnsi="Times New Roman"/>
          <w:sz w:val="22"/>
          <w:szCs w:val="22"/>
        </w:rPr>
      </w:pPr>
      <w:r>
        <w:rPr>
          <w:rFonts w:ascii="Times New Roman" w:hAnsi="Times New Roman"/>
          <w:sz w:val="22"/>
          <w:szCs w:val="22"/>
        </w:rPr>
        <w:t>NEWBERRY COUNTY, SOUTH CAROLINA</w:t>
      </w:r>
    </w:p>
    <w:p w14:paraId="06A19C8A" w14:textId="77777777" w:rsidR="009036C0" w:rsidRDefault="009036C0">
      <w:pPr>
        <w:rPr>
          <w:rFonts w:ascii="Times New Roman" w:hAnsi="Times New Roman"/>
          <w:sz w:val="22"/>
          <w:szCs w:val="22"/>
        </w:rPr>
      </w:pPr>
    </w:p>
    <w:p w14:paraId="00FEFCE7" w14:textId="77777777" w:rsidR="009036C0" w:rsidRDefault="009036C0">
      <w:pPr>
        <w:rPr>
          <w:rFonts w:ascii="Times New Roman" w:hAnsi="Times New Roman"/>
          <w:sz w:val="22"/>
          <w:szCs w:val="22"/>
        </w:rPr>
      </w:pPr>
    </w:p>
    <w:p w14:paraId="5138E82F" w14:textId="77777777" w:rsidR="009036C0" w:rsidRDefault="004C70E5">
      <w:pPr>
        <w:rPr>
          <w:rFonts w:ascii="Times New Roman" w:hAnsi="Times New Roman"/>
          <w:sz w:val="22"/>
          <w:szCs w:val="22"/>
          <w:u w:val="single"/>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0F302ABF" w14:textId="77777777" w:rsidR="009036C0" w:rsidRDefault="004C70E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Chair, Newberry County Council</w:t>
      </w:r>
    </w:p>
    <w:p w14:paraId="45E48DE5" w14:textId="77777777" w:rsidR="009036C0" w:rsidRDefault="009036C0">
      <w:pPr>
        <w:rPr>
          <w:rFonts w:ascii="Times New Roman" w:hAnsi="Times New Roman"/>
          <w:sz w:val="22"/>
          <w:szCs w:val="22"/>
        </w:rPr>
      </w:pPr>
    </w:p>
    <w:p w14:paraId="6C245FFB" w14:textId="77777777" w:rsidR="009036C0" w:rsidRDefault="004C70E5">
      <w:pPr>
        <w:rPr>
          <w:rFonts w:ascii="Times New Roman" w:hAnsi="Times New Roman"/>
          <w:sz w:val="22"/>
          <w:szCs w:val="22"/>
        </w:rPr>
      </w:pPr>
      <w:r>
        <w:rPr>
          <w:rFonts w:ascii="Times New Roman" w:hAnsi="Times New Roman"/>
          <w:sz w:val="22"/>
          <w:szCs w:val="22"/>
        </w:rPr>
        <w:t>ATTEST:</w:t>
      </w:r>
    </w:p>
    <w:p w14:paraId="4A831F90" w14:textId="77777777" w:rsidR="009036C0" w:rsidRDefault="009036C0">
      <w:pPr>
        <w:rPr>
          <w:rFonts w:ascii="Times New Roman" w:hAnsi="Times New Roman"/>
          <w:sz w:val="22"/>
          <w:szCs w:val="22"/>
        </w:rPr>
      </w:pPr>
    </w:p>
    <w:p w14:paraId="235EA910" w14:textId="77777777" w:rsidR="009036C0" w:rsidRDefault="009036C0">
      <w:pPr>
        <w:rPr>
          <w:rFonts w:ascii="Times New Roman" w:hAnsi="Times New Roman"/>
          <w:sz w:val="22"/>
          <w:szCs w:val="22"/>
        </w:rPr>
      </w:pPr>
    </w:p>
    <w:p w14:paraId="018884D0" w14:textId="77777777" w:rsidR="009036C0" w:rsidRDefault="004C70E5">
      <w:pPr>
        <w:rPr>
          <w:rFonts w:ascii="Times New Roman" w:hAnsi="Times New Roman"/>
          <w:sz w:val="22"/>
          <w:szCs w:val="22"/>
        </w:rPr>
      </w:pPr>
      <w:r>
        <w:rPr>
          <w:rFonts w:ascii="Times New Roman" w:hAnsi="Times New Roman"/>
          <w:sz w:val="22"/>
          <w:szCs w:val="22"/>
        </w:rPr>
        <w:t>__________________________________</w:t>
      </w:r>
    </w:p>
    <w:p w14:paraId="6D5BC34D" w14:textId="77777777" w:rsidR="009036C0" w:rsidRDefault="004C70E5">
      <w:pPr>
        <w:rPr>
          <w:rFonts w:ascii="Times New Roman" w:hAnsi="Times New Roman"/>
          <w:sz w:val="22"/>
          <w:szCs w:val="22"/>
        </w:rPr>
      </w:pPr>
      <w:r>
        <w:rPr>
          <w:rFonts w:ascii="Times New Roman" w:hAnsi="Times New Roman"/>
          <w:sz w:val="22"/>
          <w:szCs w:val="22"/>
        </w:rPr>
        <w:t>Clerk to Council</w:t>
      </w:r>
      <w:r>
        <w:rPr>
          <w:rFonts w:ascii="Times New Roman" w:hAnsi="Times New Roman"/>
          <w:sz w:val="22"/>
          <w:szCs w:val="22"/>
        </w:rPr>
        <w:tab/>
      </w:r>
      <w:r>
        <w:rPr>
          <w:rFonts w:ascii="Times New Roman" w:hAnsi="Times New Roman"/>
          <w:sz w:val="22"/>
          <w:szCs w:val="22"/>
        </w:rPr>
        <w:tab/>
      </w:r>
    </w:p>
    <w:p w14:paraId="74605376" w14:textId="77777777" w:rsidR="009036C0" w:rsidRDefault="004C70E5">
      <w:pPr>
        <w:rPr>
          <w:rFonts w:ascii="Times New Roman" w:hAnsi="Times New Roman"/>
          <w:sz w:val="22"/>
          <w:szCs w:val="22"/>
        </w:rPr>
      </w:pPr>
      <w:r>
        <w:rPr>
          <w:rFonts w:ascii="Times New Roman" w:hAnsi="Times New Roman"/>
          <w:sz w:val="22"/>
          <w:szCs w:val="22"/>
        </w:rPr>
        <w:t>Newberry County Council</w:t>
      </w:r>
    </w:p>
    <w:p w14:paraId="2E6ED03A" w14:textId="77777777" w:rsidR="009036C0" w:rsidRDefault="004C70E5">
      <w:pPr>
        <w:rPr>
          <w:rFonts w:ascii="Times New Roman" w:hAnsi="Times New Roman"/>
          <w:sz w:val="22"/>
          <w:szCs w:val="22"/>
        </w:rPr>
      </w:pPr>
      <w:r>
        <w:rPr>
          <w:rFonts w:ascii="Times New Roman" w:hAnsi="Times New Roman"/>
          <w:sz w:val="22"/>
          <w:szCs w:val="22"/>
        </w:rPr>
        <w:t>Newberry County, South Carolina</w:t>
      </w:r>
    </w:p>
    <w:sectPr w:rsidR="009036C0">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paperSrc w:first="264" w:other="264"/>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246DD" w14:textId="77777777" w:rsidR="00000000" w:rsidRDefault="004C70E5">
      <w:r>
        <w:separator/>
      </w:r>
    </w:p>
  </w:endnote>
  <w:endnote w:type="continuationSeparator" w:id="0">
    <w:p w14:paraId="1F623E70" w14:textId="77777777" w:rsidR="00000000" w:rsidRDefault="004C7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2DC37" w14:textId="77777777" w:rsidR="009036C0" w:rsidRDefault="004C70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2370C36" w14:textId="77777777" w:rsidR="009036C0" w:rsidRDefault="00903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4EA83" w14:textId="77777777" w:rsidR="009036C0" w:rsidRDefault="009036C0">
    <w:pPr>
      <w:pStyle w:val="Footer"/>
    </w:pPr>
  </w:p>
  <w:p w14:paraId="2BB5757D" w14:textId="77777777" w:rsidR="009036C0" w:rsidRDefault="009036C0">
    <w:pPr>
      <w:pStyle w:val="Footer"/>
      <w:rPr>
        <w:sz w:val="14"/>
      </w:rPr>
    </w:pPr>
  </w:p>
  <w:p w14:paraId="6B690457" w14:textId="77777777" w:rsidR="009036C0" w:rsidRDefault="004C70E5">
    <w:pPr>
      <w:pStyle w:val="Footer"/>
      <w:rPr>
        <w:color w:val="FFFFFF" w:themeColor="background1"/>
      </w:rPr>
    </w:pPr>
    <w:r>
      <w:rPr>
        <w:rStyle w:val="DocID"/>
      </w:rPr>
      <w:t>PPAB 4469645v1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76955" w14:textId="77777777" w:rsidR="009036C0" w:rsidRDefault="009036C0">
    <w:pPr>
      <w:pStyle w:val="Footer"/>
    </w:pPr>
  </w:p>
  <w:p w14:paraId="4B20AA42" w14:textId="77777777" w:rsidR="009036C0" w:rsidRDefault="009036C0">
    <w:pPr>
      <w:pStyle w:val="Footer"/>
      <w:rPr>
        <w:sz w:val="14"/>
      </w:rPr>
    </w:pPr>
  </w:p>
  <w:p w14:paraId="3F3091A6" w14:textId="77777777" w:rsidR="009036C0" w:rsidRDefault="004C70E5">
    <w:pPr>
      <w:pStyle w:val="Footer"/>
    </w:pPr>
    <w:r>
      <w:rPr>
        <w:rStyle w:val="DocID"/>
      </w:rPr>
      <w:t>PPAB 4469645v1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8F86B" w14:textId="77777777" w:rsidR="009036C0" w:rsidRDefault="004C70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6EEC40" w14:textId="77777777" w:rsidR="009036C0" w:rsidRDefault="009036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3EEE1" w14:textId="77777777" w:rsidR="009036C0" w:rsidRDefault="004C70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DAFDA06" w14:textId="77777777" w:rsidR="009036C0" w:rsidRDefault="009036C0">
    <w:pPr>
      <w:pStyle w:val="Footer"/>
      <w:rPr>
        <w:sz w:val="14"/>
      </w:rPr>
    </w:pPr>
  </w:p>
  <w:p w14:paraId="2E4BD912" w14:textId="77777777" w:rsidR="009036C0" w:rsidRDefault="009036C0">
    <w:pPr>
      <w:pStyle w:val="Footer"/>
      <w:rPr>
        <w:sz w:val="14"/>
      </w:rPr>
    </w:pPr>
  </w:p>
  <w:p w14:paraId="2ED3468E" w14:textId="77777777" w:rsidR="009036C0" w:rsidRDefault="009036C0">
    <w:pPr>
      <w:pStyle w:val="Footer"/>
      <w:rPr>
        <w:sz w:val="14"/>
      </w:rPr>
    </w:pPr>
  </w:p>
  <w:p w14:paraId="7A468635" w14:textId="77777777" w:rsidR="009036C0" w:rsidRDefault="009036C0">
    <w:pPr>
      <w:pStyle w:val="Footer"/>
      <w:rPr>
        <w:sz w:val="14"/>
      </w:rPr>
    </w:pPr>
  </w:p>
  <w:p w14:paraId="7E978A2C" w14:textId="77777777" w:rsidR="009036C0" w:rsidRDefault="004C70E5">
    <w:pPr>
      <w:pStyle w:val="Footer"/>
    </w:pPr>
    <w:r>
      <w:rPr>
        <w:rStyle w:val="DocID"/>
      </w:rPr>
      <w:t>PPAB 4469645v1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95D84" w14:textId="77777777" w:rsidR="009036C0" w:rsidRDefault="009036C0">
    <w:pPr>
      <w:pStyle w:val="Footer"/>
    </w:pPr>
  </w:p>
  <w:p w14:paraId="37D56E8A" w14:textId="77777777" w:rsidR="009036C0" w:rsidRDefault="009036C0">
    <w:pPr>
      <w:pStyle w:val="Footer"/>
      <w:rPr>
        <w:sz w:val="14"/>
      </w:rPr>
    </w:pPr>
  </w:p>
  <w:p w14:paraId="11FE78F4" w14:textId="77777777" w:rsidR="009036C0" w:rsidRDefault="009036C0">
    <w:pPr>
      <w:pStyle w:val="Footer"/>
      <w:rPr>
        <w:sz w:val="14"/>
      </w:rPr>
    </w:pPr>
  </w:p>
  <w:p w14:paraId="6A72F3CB" w14:textId="77777777" w:rsidR="009036C0" w:rsidRDefault="009036C0">
    <w:pPr>
      <w:pStyle w:val="Footer"/>
      <w:rPr>
        <w:sz w:val="14"/>
      </w:rPr>
    </w:pPr>
  </w:p>
  <w:p w14:paraId="56FF93B4" w14:textId="77777777" w:rsidR="009036C0" w:rsidRDefault="004C70E5">
    <w:pPr>
      <w:pStyle w:val="Footer"/>
    </w:pPr>
    <w:r>
      <w:rPr>
        <w:rStyle w:val="DocID"/>
      </w:rPr>
      <w:t>PPAB 4469645v1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28769" w14:textId="77777777" w:rsidR="00000000" w:rsidRDefault="004C70E5">
      <w:r>
        <w:separator/>
      </w:r>
    </w:p>
  </w:footnote>
  <w:footnote w:type="continuationSeparator" w:id="0">
    <w:p w14:paraId="1A7D02D1" w14:textId="77777777" w:rsidR="00000000" w:rsidRDefault="004C7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BA6F3" w14:textId="77777777" w:rsidR="009036C0" w:rsidRDefault="00903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1F925" w14:textId="77777777" w:rsidR="009036C0" w:rsidRDefault="009036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A87BD" w14:textId="77777777" w:rsidR="009036C0" w:rsidRDefault="00903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765C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DE8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A1833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B23D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08EB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B2E2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34DD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C39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B8E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C47B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1556B"/>
    <w:multiLevelType w:val="multilevel"/>
    <w:tmpl w:val="64E08080"/>
    <w:lvl w:ilvl="0">
      <w:start w:val="1"/>
      <w:numFmt w:val="bullet"/>
      <w:lvlText w:val=""/>
      <w:lvlJc w:val="left"/>
      <w:pPr>
        <w:tabs>
          <w:tab w:val="num" w:pos="1440"/>
        </w:tabs>
        <w:ind w:left="1440" w:hanging="720"/>
      </w:pPr>
      <w:rPr>
        <w:rFonts w:ascii="Wingdings" w:hAnsi="Wingdings" w:hint="default"/>
      </w:rPr>
    </w:lvl>
    <w:lvl w:ilvl="1">
      <w:start w:val="1"/>
      <w:numFmt w:val="bullet"/>
      <w:lvlText w:val=""/>
      <w:lvlJc w:val="left"/>
      <w:pPr>
        <w:tabs>
          <w:tab w:val="num" w:pos="2160"/>
        </w:tabs>
        <w:ind w:left="2160" w:hanging="720"/>
      </w:pPr>
      <w:rPr>
        <w:rFonts w:ascii="Wingdings" w:hAnsi="Wingdings" w:hint="default"/>
      </w:rPr>
    </w:lvl>
    <w:lvl w:ilvl="2">
      <w:start w:val="1"/>
      <w:numFmt w:val="bullet"/>
      <w:lvlText w:val=""/>
      <w:lvlJc w:val="left"/>
      <w:pPr>
        <w:tabs>
          <w:tab w:val="num" w:pos="2880"/>
        </w:tabs>
        <w:ind w:left="2880" w:hanging="72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09A236A"/>
    <w:multiLevelType w:val="hybridMultilevel"/>
    <w:tmpl w:val="75C6C1B2"/>
    <w:lvl w:ilvl="0" w:tplc="DC925696">
      <w:start w:val="1"/>
      <w:numFmt w:val="decimal"/>
      <w:lvlText w:val="(%1)"/>
      <w:lvlJc w:val="left"/>
      <w:pPr>
        <w:ind w:left="1440" w:hanging="720"/>
      </w:pPr>
      <w:rPr>
        <w:rFonts w:hint="default"/>
      </w:rPr>
    </w:lvl>
    <w:lvl w:ilvl="1" w:tplc="2FCAC184" w:tentative="1">
      <w:start w:val="1"/>
      <w:numFmt w:val="lowerLetter"/>
      <w:lvlText w:val="%2."/>
      <w:lvlJc w:val="left"/>
      <w:pPr>
        <w:ind w:left="1800" w:hanging="360"/>
      </w:pPr>
    </w:lvl>
    <w:lvl w:ilvl="2" w:tplc="6A5E2E50" w:tentative="1">
      <w:start w:val="1"/>
      <w:numFmt w:val="lowerRoman"/>
      <w:lvlText w:val="%3."/>
      <w:lvlJc w:val="right"/>
      <w:pPr>
        <w:ind w:left="2520" w:hanging="180"/>
      </w:pPr>
    </w:lvl>
    <w:lvl w:ilvl="3" w:tplc="2E0266EA" w:tentative="1">
      <w:start w:val="1"/>
      <w:numFmt w:val="decimal"/>
      <w:lvlText w:val="%4."/>
      <w:lvlJc w:val="left"/>
      <w:pPr>
        <w:ind w:left="3240" w:hanging="360"/>
      </w:pPr>
    </w:lvl>
    <w:lvl w:ilvl="4" w:tplc="838C1844" w:tentative="1">
      <w:start w:val="1"/>
      <w:numFmt w:val="lowerLetter"/>
      <w:lvlText w:val="%5."/>
      <w:lvlJc w:val="left"/>
      <w:pPr>
        <w:ind w:left="3960" w:hanging="360"/>
      </w:pPr>
    </w:lvl>
    <w:lvl w:ilvl="5" w:tplc="579681A6" w:tentative="1">
      <w:start w:val="1"/>
      <w:numFmt w:val="lowerRoman"/>
      <w:lvlText w:val="%6."/>
      <w:lvlJc w:val="right"/>
      <w:pPr>
        <w:ind w:left="4680" w:hanging="180"/>
      </w:pPr>
    </w:lvl>
    <w:lvl w:ilvl="6" w:tplc="359AB816" w:tentative="1">
      <w:start w:val="1"/>
      <w:numFmt w:val="decimal"/>
      <w:lvlText w:val="%7."/>
      <w:lvlJc w:val="left"/>
      <w:pPr>
        <w:ind w:left="5400" w:hanging="360"/>
      </w:pPr>
    </w:lvl>
    <w:lvl w:ilvl="7" w:tplc="A6242F4E" w:tentative="1">
      <w:start w:val="1"/>
      <w:numFmt w:val="lowerLetter"/>
      <w:lvlText w:val="%8."/>
      <w:lvlJc w:val="left"/>
      <w:pPr>
        <w:ind w:left="6120" w:hanging="360"/>
      </w:pPr>
    </w:lvl>
    <w:lvl w:ilvl="8" w:tplc="2EE6B076" w:tentative="1">
      <w:start w:val="1"/>
      <w:numFmt w:val="lowerRoman"/>
      <w:lvlText w:val="%9."/>
      <w:lvlJc w:val="right"/>
      <w:pPr>
        <w:ind w:left="684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6C0"/>
    <w:rsid w:val="004C70E5"/>
    <w:rsid w:val="0090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6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G Times" w:hAnsi="CG Times"/>
      <w:snapToGrid w:val="0"/>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TOC3"/>
    <w:pPr>
      <w:keepLines/>
      <w:tabs>
        <w:tab w:val="right" w:leader="dot" w:pos="9360"/>
      </w:tabs>
      <w:ind w:left="1080" w:right="720" w:hanging="720"/>
    </w:pPr>
  </w:style>
  <w:style w:type="paragraph" w:styleId="TOC3">
    <w:name w:val="toc 3"/>
    <w:basedOn w:val="Normal"/>
    <w:next w:val="TOC4"/>
    <w:pPr>
      <w:keepLines/>
      <w:tabs>
        <w:tab w:val="right" w:leader="dot" w:pos="9360"/>
      </w:tabs>
      <w:ind w:left="1440" w:right="720" w:hanging="720"/>
    </w:pPr>
  </w:style>
  <w:style w:type="paragraph" w:styleId="TOC4">
    <w:name w:val="toc 4"/>
    <w:basedOn w:val="Normal"/>
    <w:next w:val="Normal"/>
    <w:pPr>
      <w:keepLines/>
      <w:tabs>
        <w:tab w:val="right" w:leader="dot" w:pos="9360"/>
      </w:tabs>
      <w:ind w:left="1800" w:right="720" w:hanging="720"/>
    </w:pPr>
  </w:style>
  <w:style w:type="paragraph" w:styleId="TOC5">
    <w:name w:val="toc 5"/>
    <w:basedOn w:val="Normal"/>
    <w:next w:val="Normal"/>
    <w:pPr>
      <w:keepLines/>
      <w:tabs>
        <w:tab w:val="right" w:leader="dot" w:pos="9360"/>
      </w:tabs>
      <w:ind w:left="2160" w:right="720" w:hanging="720"/>
    </w:pPr>
  </w:style>
  <w:style w:type="paragraph" w:styleId="TOC1">
    <w:name w:val="toc 1"/>
    <w:basedOn w:val="Normal"/>
    <w:next w:val="TOC2"/>
    <w:pPr>
      <w:keepLines/>
      <w:tabs>
        <w:tab w:val="right" w:leader="dot" w:pos="9360"/>
      </w:tabs>
      <w:ind w:right="720"/>
    </w:pPr>
  </w:style>
  <w:style w:type="paragraph" w:styleId="TOC6">
    <w:name w:val="toc 6"/>
    <w:basedOn w:val="Normal"/>
    <w:next w:val="TOC7"/>
    <w:pPr>
      <w:keepLines/>
      <w:tabs>
        <w:tab w:val="right" w:leader="dot" w:pos="9360"/>
      </w:tabs>
      <w:ind w:left="2520" w:right="720" w:hanging="720"/>
    </w:pPr>
  </w:style>
  <w:style w:type="paragraph" w:styleId="TOC7">
    <w:name w:val="toc 7"/>
    <w:basedOn w:val="Normal"/>
    <w:next w:val="TOC8"/>
    <w:pPr>
      <w:keepLines/>
      <w:tabs>
        <w:tab w:val="right" w:leader="dot" w:pos="9360"/>
      </w:tabs>
      <w:ind w:left="2880" w:right="720" w:hanging="720"/>
    </w:pPr>
  </w:style>
  <w:style w:type="paragraph" w:styleId="TOC8">
    <w:name w:val="toc 8"/>
    <w:basedOn w:val="Normal"/>
    <w:next w:val="TOC9"/>
    <w:pPr>
      <w:keepLines/>
      <w:tabs>
        <w:tab w:val="right" w:leader="dot" w:pos="9360"/>
      </w:tabs>
      <w:ind w:left="3240" w:right="720" w:hanging="720"/>
    </w:pPr>
  </w:style>
  <w:style w:type="paragraph" w:styleId="TOC9">
    <w:name w:val="toc 9"/>
    <w:basedOn w:val="Normal"/>
    <w:next w:val="Normal"/>
    <w:pPr>
      <w:keepLines/>
      <w:tabs>
        <w:tab w:val="right" w:leader="dot" w:pos="9360"/>
      </w:tabs>
      <w:ind w:left="3600" w:right="720" w:hanging="720"/>
    </w:pPr>
  </w:style>
  <w:style w:type="paragraph" w:styleId="PlainText">
    <w:name w:val="Plain Text"/>
    <w:basedOn w:val="Normal"/>
  </w:style>
  <w:style w:type="paragraph" w:customStyle="1" w:styleId="AttentionLine">
    <w:name w:val="Attention Line"/>
    <w:basedOn w:val="Normal"/>
    <w:next w:val="Normal"/>
    <w:rPr>
      <w:snapToGrid/>
    </w:rPr>
  </w:style>
  <w:style w:type="paragraph" w:styleId="Closing">
    <w:name w:val="Closing"/>
    <w:basedOn w:val="Normal"/>
    <w:pPr>
      <w:ind w:left="4320"/>
    </w:pPr>
    <w:rPr>
      <w:snapToGrid/>
    </w:rPr>
  </w:style>
  <w:style w:type="paragraph" w:customStyle="1" w:styleId="HeaderFooter">
    <w:name w:val="Header/Footer"/>
    <w:basedOn w:val="Normal"/>
    <w:next w:val="Normal"/>
  </w:style>
  <w:style w:type="paragraph" w:customStyle="1" w:styleId="Legal">
    <w:name w:val="Legal"/>
    <w:basedOn w:val="Normal"/>
    <w:next w:val="Normal"/>
  </w:style>
  <w:style w:type="paragraph" w:customStyle="1" w:styleId="Letters">
    <w:name w:val="Letters"/>
    <w:basedOn w:val="Normal"/>
    <w:next w:val="Normal"/>
  </w:style>
  <w:style w:type="paragraph" w:customStyle="1" w:styleId="MailingInstructions">
    <w:name w:val="Mailing Instructions"/>
    <w:basedOn w:val="Normal"/>
    <w:next w:val="Normal"/>
    <w:rPr>
      <w:b/>
    </w:rPr>
  </w:style>
  <w:style w:type="paragraph" w:customStyle="1" w:styleId="ReferenceLine">
    <w:name w:val="Reference Line"/>
    <w:basedOn w:val="Normal"/>
    <w:next w:val="Normal"/>
  </w:style>
  <w:style w:type="paragraph" w:styleId="Salutation">
    <w:name w:val="Salutation"/>
    <w:basedOn w:val="Normal"/>
    <w:next w:val="Normal"/>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character" w:customStyle="1" w:styleId="FooterChar">
    <w:name w:val="Footer Char"/>
    <w:link w:val="Footer"/>
    <w:uiPriority w:val="99"/>
    <w:rPr>
      <w:rFonts w:ascii="CG Times" w:hAnsi="CG Times"/>
      <w:snapToGrid w:val="0"/>
      <w:sz w:val="24"/>
      <w:szCs w:val="24"/>
    </w:rPr>
  </w:style>
  <w:style w:type="paragraph" w:styleId="BodyTextIndent">
    <w:name w:val="Body Text Indent"/>
    <w:basedOn w:val="Normal"/>
    <w:link w:val="BodyTextIndentChar"/>
    <w:uiPriority w:val="99"/>
    <w:pPr>
      <w:spacing w:line="480" w:lineRule="auto"/>
      <w:ind w:firstLine="1440"/>
      <w:jc w:val="both"/>
    </w:pPr>
    <w:rPr>
      <w:snapToGrid/>
      <w:szCs w:val="20"/>
    </w:rPr>
  </w:style>
  <w:style w:type="character" w:customStyle="1" w:styleId="BodyTextIndentChar">
    <w:name w:val="Body Text Indent Char"/>
    <w:basedOn w:val="DefaultParagraphFont"/>
    <w:link w:val="BodyTextIndent"/>
    <w:uiPriority w:val="99"/>
    <w:rPr>
      <w:rFonts w:ascii="CG Times" w:hAnsi="CG Times"/>
      <w:sz w:val="24"/>
    </w:rPr>
  </w:style>
  <w:style w:type="character" w:customStyle="1" w:styleId="DocID">
    <w:name w:val="DocID"/>
    <w:basedOn w:val="DefaultParagraphFont"/>
    <w:rPr>
      <w:rFonts w:ascii="Times New Roman" w:hAnsi="Times New Roman" w:cs="Times New Roman"/>
      <w:b w:val="0"/>
      <w:i w:val="0"/>
      <w:caps w:val="0"/>
      <w:vanish w:val="0"/>
      <w:color w:val="000000"/>
      <w:sz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lastModifiedBy/>
  <cp:revision>1</cp:revision>
  <dcterms:created xsi:type="dcterms:W3CDTF">2018-09-28T20:22:00Z</dcterms:created>
  <dcterms:modified xsi:type="dcterms:W3CDTF">2018-09-28T20:22:00Z</dcterms:modified>
</cp:coreProperties>
</file>